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AE" w:rsidRDefault="00736BBA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CE52AE" w:rsidRDefault="00736BBA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CE52AE" w:rsidRDefault="00736BBA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CE52AE" w:rsidRDefault="00CE52A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52AE" w:rsidRDefault="00CE52A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52AE" w:rsidRDefault="00736BB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CE52AE" w:rsidRPr="00C0318A" w:rsidRDefault="00736BBA">
      <w:pPr>
        <w:shd w:val="clear" w:color="auto" w:fill="FFFFFF"/>
        <w:jc w:val="both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. 8 (3854) 2</w:t>
      </w:r>
      <w:r>
        <w:rPr>
          <w:rFonts w:ascii="Times New Roman" w:hAnsi="Times New Roman" w:cs="Times New Roman"/>
          <w:sz w:val="28"/>
          <w:szCs w:val="28"/>
          <w:lang w:val="en-US"/>
        </w:rPr>
        <w:t>2-12-51,  e-mail: ksp_br@mail.ru</w:t>
      </w:r>
    </w:p>
    <w:p w:rsidR="00CE52AE" w:rsidRDefault="00CE52AE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2AE" w:rsidRPr="00C0318A" w:rsidRDefault="00CE52AE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2AE" w:rsidRPr="00C0318A" w:rsidRDefault="00CE52AE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2AE" w:rsidRDefault="00736BBA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CE52AE" w:rsidRDefault="00736BBA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CE52AE" w:rsidRDefault="00CE52AE">
      <w:pPr>
        <w:pStyle w:val="Standard"/>
        <w:shd w:val="clear" w:color="auto" w:fill="FFFFFF"/>
        <w:jc w:val="center"/>
        <w:rPr>
          <w:rFonts w:hint="eastAsia"/>
        </w:rPr>
      </w:pPr>
    </w:p>
    <w:p w:rsidR="00CE52AE" w:rsidRDefault="00736BBA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Верх-Катунский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CE52AE" w:rsidRDefault="00CE52A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2AE" w:rsidRDefault="00736BBA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CE52AE" w:rsidRDefault="00CE52AE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2AE" w:rsidRDefault="00736BBA">
      <w:pPr>
        <w:pStyle w:val="Standard"/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статьи 157 Бюджетного кодекса Российской Федерации, Федеральный закон от 07.02.2011 года № 6-ФЗ «Об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общих принципах организации деятельности контрольно-счётных органов субъектов Российской Федерации и муниципальных образований», Положение о муниципальном казённом учреждении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края», утверждённое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50 Устава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№ 53 от 29.12.2021 года «О передаче полномочий контрольно-счётного органа Верх-Катунского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контрольно-счётной палате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:rsidR="00CE52AE" w:rsidRDefault="00736BB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муниципального образования Верх-Катунский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CE52AE" w:rsidRDefault="00736BBA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CE52AE" w:rsidRDefault="00CE52AE">
      <w:pPr>
        <w:pStyle w:val="Standard"/>
        <w:shd w:val="clear" w:color="auto" w:fill="FFFFFF"/>
        <w:ind w:firstLine="709"/>
        <w:jc w:val="both"/>
        <w:rPr>
          <w:rFonts w:hint="eastAsia"/>
        </w:rPr>
      </w:pPr>
    </w:p>
    <w:p w:rsidR="00CE52AE" w:rsidRDefault="00736BBA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CE52AE" w:rsidRDefault="00CE52AE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E52AE" w:rsidRDefault="00736BBA">
      <w:pPr>
        <w:pStyle w:val="Standard"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решения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тайского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проводилась муниципальным казённым учреждением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 - (далее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района») в соответствии с требованиями нормативных правовых актов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и иными нормативными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</w:p>
    <w:p w:rsidR="00CE52AE" w:rsidRDefault="00736BBA">
      <w:pPr>
        <w:pStyle w:val="Standard"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Администрацией Верх-Катунского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до 15.11.2023 года, что соответствует срокам, предусмотренным статьёй 185 Бюджетного кодекса Российской Федерации.</w:t>
      </w:r>
    </w:p>
    <w:p w:rsidR="00CE52AE" w:rsidRDefault="00736BBA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образования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Верх-Катунский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Бийского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CE52AE" w:rsidRDefault="00736BBA">
      <w:pPr>
        <w:pStyle w:val="Standard"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соответствия нормам бюджетного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52AE" w:rsidRDefault="00736BBA">
      <w:pPr>
        <w:pStyle w:val="Standard"/>
        <w:autoSpaceDE w:val="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размещён на сайте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  </w:t>
      </w:r>
    </w:p>
    <w:p w:rsidR="00CE52AE" w:rsidRDefault="00CE52AE">
      <w:pPr>
        <w:pStyle w:val="Standard"/>
        <w:autoSpaceDE w:val="0"/>
        <w:ind w:firstLine="708"/>
        <w:jc w:val="both"/>
        <w:rPr>
          <w:rFonts w:hint="eastAsia"/>
        </w:rPr>
      </w:pPr>
    </w:p>
    <w:p w:rsidR="00CE52AE" w:rsidRDefault="00736BB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CE52AE" w:rsidRDefault="00CE52A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52AE" w:rsidRDefault="00736BBA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сформированы Проектом решения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и на плановый период 2025 и 2026 годов. 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стабильного функционирования бюджетной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</w:t>
      </w:r>
      <w:r>
        <w:rPr>
          <w:rFonts w:ascii="Times New Roman" w:hAnsi="Times New Roman" w:cs="Times New Roman"/>
          <w:sz w:val="28"/>
          <w:szCs w:val="28"/>
        </w:rPr>
        <w:t>роекте решения, в складывающихся бюджетных условиях для органов местного самоуправления сельских поселений являются: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условий и выполнение целевых показателей заключенных соглашений;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расходных обязательств исключительно в рамках полном</w:t>
      </w:r>
      <w:r>
        <w:rPr>
          <w:rFonts w:ascii="Times New Roman" w:hAnsi="Times New Roman" w:cs="Times New Roman"/>
          <w:sz w:val="28"/>
          <w:szCs w:val="28"/>
        </w:rPr>
        <w:t xml:space="preserve">очий, определенных для местных бюджетов федеральным и региональным законодательством;  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мер, предусмотренных программами оптимизации расходов;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расходных обязательств в целях недопущения образования и роста просроче</w:t>
      </w:r>
      <w:r>
        <w:rPr>
          <w:rFonts w:ascii="Times New Roman" w:hAnsi="Times New Roman" w:cs="Times New Roman"/>
          <w:sz w:val="28"/>
          <w:szCs w:val="28"/>
        </w:rPr>
        <w:t>нной кредиторской задолженности в органах местного самоуправления сельских поселений.</w:t>
      </w:r>
    </w:p>
    <w:p w:rsidR="00CE52AE" w:rsidRDefault="00CE52AE">
      <w:pPr>
        <w:pStyle w:val="Standard"/>
        <w:tabs>
          <w:tab w:val="left" w:pos="1003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E52AE" w:rsidRDefault="00736BBA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Проекта решения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Алтайского края</w:t>
      </w:r>
    </w:p>
    <w:p w:rsidR="00CE52AE" w:rsidRDefault="00CE52AE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52AE" w:rsidRDefault="00736BBA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Предложенный на 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7 247,3 тыс. рублей, в том числе объём межбюджет</w:t>
      </w:r>
      <w:r>
        <w:rPr>
          <w:rFonts w:ascii="Times New Roman" w:hAnsi="Times New Roman" w:cs="Times New Roman"/>
          <w:sz w:val="28"/>
          <w:szCs w:val="28"/>
        </w:rPr>
        <w:t>ных трансфертов, получаемых из других бюджетов, в сумме  4 116,3 тыс. рублей;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 7 247,3 тыс. рублей;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CE52AE" w:rsidRDefault="00CE52AE">
      <w:pPr>
        <w:pStyle w:val="Default"/>
        <w:jc w:val="center"/>
        <w:rPr>
          <w:b/>
          <w:color w:val="111111"/>
          <w:sz w:val="28"/>
          <w:szCs w:val="28"/>
        </w:rPr>
      </w:pPr>
    </w:p>
    <w:p w:rsidR="00CE52AE" w:rsidRDefault="00736BBA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CE52AE" w:rsidRDefault="00CE52AE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CE52AE" w:rsidRDefault="00736BB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расчёте </w:t>
      </w:r>
      <w:r>
        <w:rPr>
          <w:sz w:val="28"/>
          <w:szCs w:val="28"/>
        </w:rPr>
        <w:t xml:space="preserve">объёма доходов бюджета сельского поселения учитывалось действующее налоговое и бюджетное законодательство, а также изменения            налогового законодательства Российской Федерации,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вступающие в действ</w:t>
      </w:r>
      <w:r>
        <w:rPr>
          <w:sz w:val="28"/>
          <w:szCs w:val="28"/>
        </w:rPr>
        <w:t>ие с 1 января 2024 года.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администраторами доходов бюджет</w:t>
      </w:r>
      <w:r>
        <w:rPr>
          <w:rFonts w:ascii="Times New Roman" w:hAnsi="Times New Roman" w:cs="Times New Roman"/>
          <w:sz w:val="28"/>
          <w:szCs w:val="28"/>
        </w:rPr>
        <w:t>а сельского поселения в соответствии с пунктом 1 статьи 160.1 Бюджетного кодекса Российской Федерации.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прогнозируются в 2024 году в объёме 3 131,0 тыс. рублей.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</w:t>
      </w:r>
      <w:r>
        <w:rPr>
          <w:rFonts w:ascii="Times New Roman" w:hAnsi="Times New Roman" w:cs="Times New Roman"/>
          <w:sz w:val="28"/>
          <w:szCs w:val="28"/>
        </w:rPr>
        <w:t>одов основная сумма поступлений в 2024 году приходится на земельный налог - 42,0%, налог на имущество физических лиц - 16,7% и налог на доходы физических лиц - 13,8%.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в прогнозных показателях на 2024 год составляет 524,0 тыс. </w:t>
      </w:r>
      <w:r>
        <w:rPr>
          <w:rFonts w:ascii="Times New Roman" w:hAnsi="Times New Roman" w:cs="Times New Roman"/>
          <w:sz w:val="28"/>
          <w:szCs w:val="28"/>
        </w:rPr>
        <w:t>рублей и рассчитан исходя из суммы начисленного налога налоговыми органами в 2023 году;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  поступления  земельного  налога в  2024 году  составляют 1 315,0 тыс. рублей, рассчитаны на основе коэффициента собираемости; 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налога на доходы ф</w:t>
      </w:r>
      <w:r>
        <w:rPr>
          <w:rFonts w:ascii="Times New Roman" w:hAnsi="Times New Roman" w:cs="Times New Roman"/>
          <w:sz w:val="28"/>
          <w:szCs w:val="28"/>
        </w:rPr>
        <w:t xml:space="preserve">изических лиц прогнозируется в размере 433,0 тыс. рублей, определена исходя из прогнозируемого объёма фонда оплаты труда,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численности занятого населения и реальной поступлений налога на доходы физических лиц в 2023 году.</w:t>
      </w:r>
    </w:p>
    <w:p w:rsidR="00CE52AE" w:rsidRDefault="00736BB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предусмотрены неналоговые доходы в сумме 119,0 тыс. рублей, в том числе доходы, поступающие в порядке возмещения расходов, понесённых в связи с эксплуатацией имущества сельских поселений - 99,0 тыс. рублей и прочие неналоговые доходы - 20,0 тыс. рублей. 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4 116,3 тыс. рублей, в том числе: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2 289,5 тыс. рублей;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межбюджетных трансфертов,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б</w:t>
      </w:r>
      <w:r>
        <w:rPr>
          <w:rFonts w:ascii="Times New Roman" w:hAnsi="Times New Roman" w:cs="Times New Roman"/>
          <w:sz w:val="28"/>
          <w:szCs w:val="28"/>
        </w:rPr>
        <w:t xml:space="preserve">юджету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исполнение переданных полномочий запланирован в сумме 438,7 тыс. рублей;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сельских поселений - 1 000,0 тыс. рублей; </w:t>
      </w:r>
    </w:p>
    <w:p w:rsidR="00CE52AE" w:rsidRDefault="0073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первичного воинского учёта в сумме 388,1 тыс. рублей. </w:t>
      </w:r>
    </w:p>
    <w:p w:rsidR="00CE52AE" w:rsidRDefault="00CE52AE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2AE" w:rsidRDefault="00736BBA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E52AE" w:rsidRDefault="00CE52AE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2AE" w:rsidRDefault="00736BB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обязательств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Верх-Катунского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края. 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повышение эффективности расходо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</w:p>
    <w:p w:rsidR="00CE52AE" w:rsidRDefault="00736BBA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7 247,3 тыс. рублей.  </w:t>
      </w:r>
    </w:p>
    <w:p w:rsidR="00CE52AE" w:rsidRDefault="00736BBA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CE52AE" w:rsidRDefault="00736BBA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установление расходных обязатель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еделах п</w:t>
      </w:r>
      <w:r>
        <w:rPr>
          <w:rFonts w:ascii="Times New Roman" w:hAnsi="Times New Roman" w:cs="Times New Roman"/>
          <w:color w:val="111111"/>
          <w:sz w:val="28"/>
          <w:szCs w:val="28"/>
        </w:rPr>
        <w:t>олномочий, отнесённых федеральными законами к полномочиям органов местного самоуправления;</w:t>
      </w:r>
    </w:p>
    <w:p w:rsidR="00CE52AE" w:rsidRDefault="00736BBA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увеличения численности работников органов местного самоуправления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случае, связанных с наделением органов местного самоуправления новыми </w:t>
      </w:r>
      <w:r>
        <w:rPr>
          <w:rFonts w:ascii="Times New Roman" w:hAnsi="Times New Roman" w:cs="Times New Roman"/>
          <w:color w:val="111111"/>
          <w:sz w:val="28"/>
          <w:szCs w:val="28"/>
        </w:rPr>
        <w:t>полномочиями или перераспределением полномочий.</w:t>
      </w:r>
    </w:p>
    <w:p w:rsidR="00CE52AE" w:rsidRDefault="00736BBA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бюджетных ассигнований на исполнение публичных нормативных обязательств на 2024 год определён в сумме 7,5 тыс. рублей. </w:t>
      </w:r>
    </w:p>
    <w:p w:rsidR="00CE52AE" w:rsidRDefault="00736BBA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трансфертов бюджету сельского поселения на 2024 год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 xml:space="preserve">4 116,3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CE52AE" w:rsidRDefault="00736BBA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CE52AE" w:rsidRDefault="00CE52AE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CE52AE" w:rsidRDefault="00736BB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CE52AE" w:rsidRDefault="00736BBA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1"/>
        <w:gridCol w:w="2126"/>
      </w:tblGrid>
      <w:tr w:rsidR="00CE52A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CE52AE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2 680,0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37,0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5,4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</w:t>
            </w:r>
          </w:p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в общем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0,05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357,0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4,9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386,5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5,3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3 318,4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45,8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в общем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1,4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0,15</w:t>
            </w:r>
          </w:p>
        </w:tc>
      </w:tr>
      <w:tr w:rsidR="00CE52A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AE" w:rsidRDefault="00736BB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AE" w:rsidRDefault="00736BB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7 247,3</w:t>
            </w:r>
          </w:p>
        </w:tc>
      </w:tr>
    </w:tbl>
    <w:p w:rsidR="00CE52AE" w:rsidRDefault="00736BB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CE52AE" w:rsidRDefault="00736BBA">
      <w:pPr>
        <w:pStyle w:val="Standard"/>
        <w:autoSpaceDE w:val="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резервного фонда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для обеспечения непредвиденных расходов запланирован в сумме 30,0 тыс. рублей. Средства резервного фонда </w:t>
      </w:r>
      <w:r>
        <w:rPr>
          <w:rFonts w:ascii="Times New Roman" w:hAnsi="Times New Roman" w:cs="Times New Roman"/>
          <w:color w:val="111111"/>
          <w:sz w:val="28"/>
          <w:szCs w:val="28"/>
        </w:rPr>
        <w:t>направляются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</w:t>
      </w:r>
    </w:p>
    <w:p w:rsidR="00CE52AE" w:rsidRDefault="00CE52AE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CE52AE" w:rsidRDefault="00736BBA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6. Заключение   </w:t>
      </w:r>
    </w:p>
    <w:p w:rsidR="00CE52AE" w:rsidRDefault="00CE52AE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2AE" w:rsidRDefault="00736BBA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экспертно-а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налитического мероприятия проанализирована работа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2AE" w:rsidRDefault="00736BBA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обеспечивают выполнение социальных обязательств, реализацию мероприятий, необходимых для реализации политики в соответствующих сферах.</w:t>
      </w:r>
    </w:p>
    <w:p w:rsidR="00CE52AE" w:rsidRDefault="00736BBA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CE52AE" w:rsidRDefault="00736BBA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2AE" w:rsidRDefault="00736BBA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основании вышеизложенно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го, МКУ «КСП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района» предлагает принять проект решения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Верх-Катунского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муниципального образования Верх-Катунский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CE52AE" w:rsidRDefault="00CE52AE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2AE" w:rsidRDefault="00CE52AE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2AE" w:rsidRDefault="00CE52AE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2AE" w:rsidRDefault="00736BB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CE52AE" w:rsidRDefault="00736BBA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                                                                      А.Ю. Кочкина</w:t>
      </w:r>
    </w:p>
    <w:p w:rsidR="00CE52AE" w:rsidRDefault="00CE52AE">
      <w:pPr>
        <w:pStyle w:val="Standard"/>
        <w:tabs>
          <w:tab w:val="left" w:pos="10155"/>
          <w:tab w:val="left" w:pos="10205"/>
        </w:tabs>
        <w:autoSpaceDE w:val="0"/>
        <w:ind w:righ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E52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BA" w:rsidRDefault="00736BBA">
      <w:pPr>
        <w:rPr>
          <w:rFonts w:hint="eastAsia"/>
        </w:rPr>
      </w:pPr>
      <w:r>
        <w:separator/>
      </w:r>
    </w:p>
  </w:endnote>
  <w:endnote w:type="continuationSeparator" w:id="0">
    <w:p w:rsidR="00736BBA" w:rsidRDefault="00736B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AB" w:rsidRDefault="00736BBA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AB" w:rsidRDefault="00736BB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BA" w:rsidRDefault="00736B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6BBA" w:rsidRDefault="00736B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AB" w:rsidRDefault="00736BBA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AB" w:rsidRDefault="00736BBA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1E9"/>
    <w:multiLevelType w:val="multilevel"/>
    <w:tmpl w:val="1C6004B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52AE"/>
    <w:rsid w:val="00736BBA"/>
    <w:rsid w:val="008B6A4A"/>
    <w:rsid w:val="00C0318A"/>
    <w:rsid w:val="00C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2023-01-20T03:43:00Z</cp:lastPrinted>
  <dcterms:created xsi:type="dcterms:W3CDTF">2023-12-14T01:23:00Z</dcterms:created>
  <dcterms:modified xsi:type="dcterms:W3CDTF">2023-12-14T01:23:00Z</dcterms:modified>
</cp:coreProperties>
</file>