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/>
  <w:body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95BF1" w:rsidTr="00E341EF">
        <w:tc>
          <w:tcPr>
            <w:tcW w:w="14786" w:type="dxa"/>
            <w:gridSpan w:val="4"/>
            <w:shd w:val="clear" w:color="auto" w:fill="D3DFEE"/>
          </w:tcPr>
          <w:p w:rsidR="00F95BF1" w:rsidRPr="00E341EF" w:rsidRDefault="007E5399" w:rsidP="00E341E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17365D"/>
                <w:sz w:val="32"/>
                <w:szCs w:val="32"/>
              </w:rPr>
            </w:pPr>
            <w:bookmarkStart w:id="0" w:name="_GoBack"/>
            <w:bookmarkEnd w:id="0"/>
            <w:r w:rsidRPr="00E341EF">
              <w:rPr>
                <w:rFonts w:ascii="Century Gothic" w:hAnsi="Century Gothic"/>
                <w:b/>
                <w:bCs/>
                <w:color w:val="17365D"/>
                <w:sz w:val="32"/>
                <w:szCs w:val="32"/>
              </w:rPr>
              <w:t>Получаете заработную плату «в конверте»? ЗАДУМАЙТЕСЬ</w:t>
            </w:r>
            <w:r w:rsidR="00A03CB1" w:rsidRPr="00E341EF">
              <w:rPr>
                <w:rFonts w:ascii="Century Gothic" w:hAnsi="Century Gothic"/>
                <w:b/>
                <w:bCs/>
                <w:color w:val="17365D"/>
                <w:sz w:val="32"/>
                <w:szCs w:val="32"/>
              </w:rPr>
              <w:t>…</w:t>
            </w:r>
          </w:p>
        </w:tc>
      </w:tr>
      <w:tr w:rsidR="001C070C" w:rsidTr="00E341EF">
        <w:tc>
          <w:tcPr>
            <w:tcW w:w="7392" w:type="dxa"/>
            <w:gridSpan w:val="2"/>
            <w:shd w:val="clear" w:color="auto" w:fill="A7BFDE"/>
          </w:tcPr>
          <w:p w:rsidR="001C070C" w:rsidRPr="00E341EF" w:rsidRDefault="001C070C" w:rsidP="00E341EF">
            <w:pPr>
              <w:spacing w:before="200" w:line="240" w:lineRule="auto"/>
              <w:jc w:val="center"/>
              <w:rPr>
                <w:rFonts w:ascii="Century Gothic" w:hAnsi="Century Gothic"/>
                <w:b/>
                <w:bCs/>
                <w:color w:val="17365D"/>
              </w:rPr>
            </w:pPr>
            <w:r w:rsidRPr="00E341EF">
              <w:rPr>
                <w:rFonts w:ascii="Century Gothic" w:hAnsi="Century Gothic"/>
                <w:b/>
                <w:bCs/>
                <w:color w:val="17365D"/>
              </w:rPr>
              <w:t>Плюсы официальных трудовых отношений</w:t>
            </w:r>
          </w:p>
        </w:tc>
        <w:tc>
          <w:tcPr>
            <w:tcW w:w="7394" w:type="dxa"/>
            <w:gridSpan w:val="2"/>
            <w:shd w:val="clear" w:color="auto" w:fill="A7BFDE"/>
          </w:tcPr>
          <w:p w:rsidR="001C070C" w:rsidRPr="00E341EF" w:rsidRDefault="00EE0D8A" w:rsidP="00E341EF">
            <w:pPr>
              <w:spacing w:before="200" w:line="240" w:lineRule="auto"/>
              <w:jc w:val="center"/>
              <w:rPr>
                <w:rFonts w:ascii="Century Gothic" w:hAnsi="Century Gothic"/>
                <w:b/>
                <w:color w:val="17365D"/>
              </w:rPr>
            </w:pPr>
            <w:r w:rsidRPr="00E341EF">
              <w:rPr>
                <w:rFonts w:ascii="Century Gothic" w:hAnsi="Century Gothic"/>
                <w:b/>
                <w:color w:val="17365D"/>
              </w:rPr>
              <w:t>Минусы неформальных трудовых отношений</w:t>
            </w:r>
          </w:p>
        </w:tc>
      </w:tr>
      <w:tr w:rsidR="00EE0D8A" w:rsidTr="00E341EF">
        <w:trPr>
          <w:trHeight w:val="357"/>
        </w:trPr>
        <w:tc>
          <w:tcPr>
            <w:tcW w:w="3696" w:type="dxa"/>
            <w:shd w:val="clear" w:color="auto" w:fill="D3DFEE"/>
          </w:tcPr>
          <w:p w:rsidR="00EE0D8A" w:rsidRPr="00E341EF" w:rsidRDefault="00EE0D8A" w:rsidP="00E341EF">
            <w:pPr>
              <w:spacing w:before="200" w:line="240" w:lineRule="auto"/>
              <w:jc w:val="center"/>
              <w:rPr>
                <w:rFonts w:ascii="Century Gothic" w:hAnsi="Century Gothic"/>
                <w:b/>
                <w:bCs/>
                <w:color w:val="17365D"/>
              </w:rPr>
            </w:pPr>
            <w:r w:rsidRPr="00E341EF">
              <w:rPr>
                <w:rFonts w:ascii="Century Gothic" w:hAnsi="Century Gothic"/>
                <w:b/>
                <w:bCs/>
                <w:color w:val="17365D"/>
              </w:rPr>
              <w:t>для работодателей</w:t>
            </w:r>
          </w:p>
        </w:tc>
        <w:tc>
          <w:tcPr>
            <w:tcW w:w="3696" w:type="dxa"/>
            <w:shd w:val="clear" w:color="auto" w:fill="D3DFEE"/>
          </w:tcPr>
          <w:p w:rsidR="00EE0D8A" w:rsidRPr="00E341EF" w:rsidRDefault="00EE0D8A" w:rsidP="00E341EF">
            <w:pPr>
              <w:spacing w:before="200" w:line="240" w:lineRule="auto"/>
              <w:jc w:val="center"/>
              <w:rPr>
                <w:rFonts w:ascii="Century Gothic" w:hAnsi="Century Gothic"/>
                <w:b/>
                <w:color w:val="17365D"/>
              </w:rPr>
            </w:pPr>
            <w:r w:rsidRPr="00E341EF">
              <w:rPr>
                <w:rFonts w:ascii="Century Gothic" w:hAnsi="Century Gothic"/>
                <w:b/>
                <w:color w:val="17365D"/>
              </w:rPr>
              <w:t>для работников</w:t>
            </w:r>
          </w:p>
        </w:tc>
        <w:tc>
          <w:tcPr>
            <w:tcW w:w="3697" w:type="dxa"/>
            <w:shd w:val="clear" w:color="auto" w:fill="D3DFEE"/>
          </w:tcPr>
          <w:p w:rsidR="00EE0D8A" w:rsidRPr="00E341EF" w:rsidRDefault="00EE0D8A" w:rsidP="00E341EF">
            <w:pPr>
              <w:spacing w:before="200" w:line="240" w:lineRule="auto"/>
              <w:jc w:val="center"/>
              <w:rPr>
                <w:rFonts w:ascii="Century Gothic" w:hAnsi="Century Gothic"/>
                <w:b/>
                <w:color w:val="17365D"/>
              </w:rPr>
            </w:pPr>
            <w:r w:rsidRPr="00E341EF">
              <w:rPr>
                <w:rFonts w:ascii="Century Gothic" w:hAnsi="Century Gothic"/>
                <w:b/>
                <w:color w:val="17365D"/>
              </w:rPr>
              <w:t>для работодателей</w:t>
            </w:r>
          </w:p>
        </w:tc>
        <w:tc>
          <w:tcPr>
            <w:tcW w:w="3697" w:type="dxa"/>
            <w:shd w:val="clear" w:color="auto" w:fill="D3DFEE"/>
          </w:tcPr>
          <w:p w:rsidR="00EE0D8A" w:rsidRPr="00E341EF" w:rsidRDefault="00EE0D8A" w:rsidP="00E341EF">
            <w:pPr>
              <w:spacing w:before="200" w:line="240" w:lineRule="auto"/>
              <w:jc w:val="center"/>
              <w:rPr>
                <w:rFonts w:ascii="Century Gothic" w:hAnsi="Century Gothic"/>
                <w:b/>
                <w:color w:val="17365D"/>
              </w:rPr>
            </w:pPr>
            <w:r w:rsidRPr="00E341EF">
              <w:rPr>
                <w:rFonts w:ascii="Century Gothic" w:hAnsi="Century Gothic"/>
                <w:b/>
                <w:color w:val="17365D"/>
              </w:rPr>
              <w:t>для работников</w:t>
            </w:r>
          </w:p>
        </w:tc>
      </w:tr>
      <w:tr w:rsidR="00122CFD" w:rsidRPr="00E341EF" w:rsidTr="00E341EF">
        <w:tc>
          <w:tcPr>
            <w:tcW w:w="3696" w:type="dxa"/>
            <w:shd w:val="clear" w:color="auto" w:fill="A7BFDE"/>
          </w:tcPr>
          <w:p w:rsidR="00EE0D8A" w:rsidRPr="006816B0" w:rsidRDefault="00EE0D8A" w:rsidP="00E341EF">
            <w:pPr>
              <w:spacing w:before="200" w:line="240" w:lineRule="auto"/>
              <w:jc w:val="center"/>
              <w:rPr>
                <w:rFonts w:ascii="Century Gothic" w:hAnsi="Century Gothic"/>
                <w:bCs/>
                <w:color w:val="17365D"/>
              </w:rPr>
            </w:pPr>
            <w:r w:rsidRPr="006816B0">
              <w:rPr>
                <w:rFonts w:ascii="Century Gothic" w:hAnsi="Century Gothic"/>
                <w:bCs/>
                <w:color w:val="17365D"/>
              </w:rPr>
              <w:t>хорошая деловая репут</w:t>
            </w:r>
            <w:r w:rsidRPr="006816B0">
              <w:rPr>
                <w:rFonts w:ascii="Century Gothic" w:hAnsi="Century Gothic"/>
                <w:bCs/>
                <w:color w:val="17365D"/>
              </w:rPr>
              <w:t>а</w:t>
            </w:r>
            <w:r w:rsidRPr="006816B0">
              <w:rPr>
                <w:rFonts w:ascii="Century Gothic" w:hAnsi="Century Gothic"/>
                <w:bCs/>
                <w:color w:val="17365D"/>
              </w:rPr>
              <w:t>ция</w:t>
            </w:r>
          </w:p>
        </w:tc>
        <w:tc>
          <w:tcPr>
            <w:tcW w:w="3696" w:type="dxa"/>
            <w:shd w:val="clear" w:color="auto" w:fill="A7BFDE"/>
          </w:tcPr>
          <w:p w:rsidR="00E341EF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получение официальной зар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а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ботной платы, своевременно</w:t>
            </w:r>
          </w:p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и в по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л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ном объеме</w:t>
            </w:r>
          </w:p>
        </w:tc>
        <w:tc>
          <w:tcPr>
            <w:tcW w:w="3697" w:type="dxa"/>
            <w:shd w:val="clear" w:color="auto" w:fill="A7BFD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административные штр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а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фы</w:t>
            </w:r>
          </w:p>
        </w:tc>
        <w:tc>
          <w:tcPr>
            <w:tcW w:w="3697" w:type="dxa"/>
            <w:shd w:val="clear" w:color="auto" w:fill="A7BFD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условия труда, продолжител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ь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ность рабочего дня, дополнител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ь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ные обязанн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сти</w:t>
            </w:r>
          </w:p>
        </w:tc>
      </w:tr>
      <w:tr w:rsidR="00122CFD" w:rsidRPr="00E341EF" w:rsidTr="00E341EF">
        <w:tc>
          <w:tcPr>
            <w:tcW w:w="3696" w:type="dxa"/>
            <w:shd w:val="clear" w:color="auto" w:fill="D3DFEE"/>
          </w:tcPr>
          <w:p w:rsidR="00EE0D8A" w:rsidRPr="006816B0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17365D"/>
              </w:rPr>
            </w:pPr>
            <w:r w:rsidRPr="006816B0">
              <w:rPr>
                <w:rFonts w:ascii="Century Gothic" w:hAnsi="Century Gothic"/>
                <w:bCs/>
                <w:color w:val="17365D"/>
              </w:rPr>
              <w:t>положительный имидж соц</w:t>
            </w:r>
            <w:r w:rsidRPr="006816B0">
              <w:rPr>
                <w:rFonts w:ascii="Century Gothic" w:hAnsi="Century Gothic"/>
                <w:bCs/>
                <w:color w:val="17365D"/>
              </w:rPr>
              <w:t>и</w:t>
            </w:r>
            <w:r w:rsidRPr="006816B0">
              <w:rPr>
                <w:rFonts w:ascii="Century Gothic" w:hAnsi="Century Gothic"/>
                <w:bCs/>
                <w:color w:val="17365D"/>
              </w:rPr>
              <w:t>ально ответственного работ</w:t>
            </w:r>
            <w:r w:rsidRPr="006816B0">
              <w:rPr>
                <w:rFonts w:ascii="Century Gothic" w:hAnsi="Century Gothic"/>
                <w:bCs/>
                <w:color w:val="17365D"/>
              </w:rPr>
              <w:t>о</w:t>
            </w:r>
            <w:r w:rsidRPr="006816B0">
              <w:rPr>
                <w:rFonts w:ascii="Century Gothic" w:hAnsi="Century Gothic"/>
                <w:bCs/>
                <w:color w:val="17365D"/>
              </w:rPr>
              <w:t>дателя</w:t>
            </w:r>
          </w:p>
        </w:tc>
        <w:tc>
          <w:tcPr>
            <w:tcW w:w="3696" w:type="dxa"/>
            <w:shd w:val="clear" w:color="auto" w:fill="D3DFE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оплачиваемый листок време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ной нетрудоспособности</w:t>
            </w:r>
          </w:p>
        </w:tc>
        <w:tc>
          <w:tcPr>
            <w:tcW w:w="3697" w:type="dxa"/>
            <w:shd w:val="clear" w:color="auto" w:fill="D3DFEE"/>
          </w:tcPr>
          <w:p w:rsidR="00EE0D8A" w:rsidRPr="00E341EF" w:rsidRDefault="006816B0" w:rsidP="005865C5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>
              <w:rPr>
                <w:rFonts w:ascii="Century Gothic" w:hAnsi="Century Gothic"/>
                <w:color w:val="17365D"/>
                <w:sz w:val="20"/>
                <w:szCs w:val="20"/>
              </w:rPr>
              <w:t>отсутств</w:t>
            </w:r>
            <w:r w:rsidR="005865C5">
              <w:rPr>
                <w:rFonts w:ascii="Century Gothic" w:hAnsi="Century Gothic"/>
                <w:color w:val="17365D"/>
                <w:sz w:val="20"/>
                <w:szCs w:val="20"/>
              </w:rPr>
              <w:t>ует</w:t>
            </w:r>
            <w:r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возможност</w:t>
            </w:r>
            <w:r w:rsidR="005865C5">
              <w:rPr>
                <w:rFonts w:ascii="Century Gothic" w:hAnsi="Century Gothic"/>
                <w:color w:val="17365D"/>
                <w:sz w:val="20"/>
                <w:szCs w:val="20"/>
              </w:rPr>
              <w:t>ь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17365D"/>
                <w:sz w:val="20"/>
                <w:szCs w:val="20"/>
              </w:rPr>
              <w:t>у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ч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а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сти</w:t>
            </w:r>
            <w:r>
              <w:rPr>
                <w:rFonts w:ascii="Century Gothic" w:hAnsi="Century Gothic"/>
                <w:color w:val="17365D"/>
                <w:sz w:val="20"/>
                <w:szCs w:val="20"/>
              </w:rPr>
              <w:t>я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в государственных пр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граммах, государственной</w:t>
            </w:r>
            <w:r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по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д</w:t>
            </w:r>
            <w:r w:rsidR="00EE0D8A"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держке</w:t>
            </w:r>
          </w:p>
        </w:tc>
        <w:tc>
          <w:tcPr>
            <w:tcW w:w="3697" w:type="dxa"/>
            <w:shd w:val="clear" w:color="auto" w:fill="D3DFE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не перечисляются страховые взносы во внебюджетные фонды</w:t>
            </w:r>
          </w:p>
        </w:tc>
      </w:tr>
      <w:tr w:rsidR="00122CFD" w:rsidRPr="00E341EF" w:rsidTr="00E341EF">
        <w:tc>
          <w:tcPr>
            <w:tcW w:w="3696" w:type="dxa"/>
            <w:shd w:val="clear" w:color="auto" w:fill="A7BFDE"/>
          </w:tcPr>
          <w:p w:rsidR="00EE0D8A" w:rsidRPr="006816B0" w:rsidRDefault="00EE0D8A" w:rsidP="00E341EF">
            <w:pPr>
              <w:spacing w:before="200" w:line="240" w:lineRule="auto"/>
              <w:jc w:val="center"/>
              <w:rPr>
                <w:rFonts w:ascii="Century Gothic" w:hAnsi="Century Gothic"/>
                <w:bCs/>
                <w:color w:val="17365D"/>
              </w:rPr>
            </w:pPr>
            <w:r w:rsidRPr="006816B0">
              <w:rPr>
                <w:rFonts w:ascii="Century Gothic" w:hAnsi="Century Gothic"/>
                <w:bCs/>
                <w:color w:val="17365D"/>
              </w:rPr>
              <w:t>возможность участия в пр</w:t>
            </w:r>
            <w:r w:rsidRPr="006816B0">
              <w:rPr>
                <w:rFonts w:ascii="Century Gothic" w:hAnsi="Century Gothic"/>
                <w:bCs/>
                <w:color w:val="17365D"/>
              </w:rPr>
              <w:t>о</w:t>
            </w:r>
            <w:r w:rsidRPr="006816B0">
              <w:rPr>
                <w:rFonts w:ascii="Century Gothic" w:hAnsi="Century Gothic"/>
                <w:bCs/>
                <w:color w:val="17365D"/>
              </w:rPr>
              <w:t>граммах господдер</w:t>
            </w:r>
            <w:r w:rsidRPr="006816B0">
              <w:rPr>
                <w:rFonts w:ascii="Century Gothic" w:hAnsi="Century Gothic"/>
                <w:bCs/>
                <w:color w:val="17365D"/>
              </w:rPr>
              <w:t>ж</w:t>
            </w:r>
            <w:r w:rsidRPr="006816B0">
              <w:rPr>
                <w:rFonts w:ascii="Century Gothic" w:hAnsi="Century Gothic"/>
                <w:bCs/>
                <w:color w:val="17365D"/>
              </w:rPr>
              <w:t>ки</w:t>
            </w:r>
          </w:p>
        </w:tc>
        <w:tc>
          <w:tcPr>
            <w:tcW w:w="3696" w:type="dxa"/>
            <w:shd w:val="clear" w:color="auto" w:fill="A7BFD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осуществление обязательного социального страхования рабо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т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ников</w:t>
            </w:r>
          </w:p>
        </w:tc>
        <w:tc>
          <w:tcPr>
            <w:tcW w:w="3697" w:type="dxa"/>
            <w:shd w:val="clear" w:color="auto" w:fill="A7BFDE"/>
          </w:tcPr>
          <w:p w:rsidR="00EE0D8A" w:rsidRPr="00E341EF" w:rsidRDefault="00EE0D8A" w:rsidP="006816B0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риск проведения проверок со стороны ко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трольно-надзорных органов, </w:t>
            </w:r>
            <w:r w:rsidR="006816B0">
              <w:rPr>
                <w:rFonts w:ascii="Century Gothic" w:hAnsi="Century Gothic"/>
                <w:color w:val="17365D"/>
                <w:sz w:val="20"/>
                <w:szCs w:val="20"/>
              </w:rPr>
              <w:t>в том числе орга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нов прокуратуры</w:t>
            </w:r>
          </w:p>
        </w:tc>
        <w:tc>
          <w:tcPr>
            <w:tcW w:w="3697" w:type="dxa"/>
            <w:shd w:val="clear" w:color="auto" w:fill="A7BFD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отсутствие соц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и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альных гарантий  (оплачиваемого лист</w:t>
            </w:r>
            <w:r w:rsidR="00B2526C"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к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а време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ной нетрудоспособности, опл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а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чиваемого отпуска, д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стойной пенсии)</w:t>
            </w:r>
          </w:p>
        </w:tc>
      </w:tr>
      <w:tr w:rsidR="00122CFD" w:rsidRPr="00E341EF" w:rsidTr="00E341EF">
        <w:tc>
          <w:tcPr>
            <w:tcW w:w="3696" w:type="dxa"/>
            <w:shd w:val="clear" w:color="auto" w:fill="D3DFEE"/>
          </w:tcPr>
          <w:p w:rsidR="00EE0D8A" w:rsidRPr="006816B0" w:rsidRDefault="00EE0D8A" w:rsidP="00E341EF">
            <w:pPr>
              <w:spacing w:before="200" w:line="240" w:lineRule="auto"/>
              <w:jc w:val="center"/>
              <w:rPr>
                <w:rFonts w:ascii="Century Gothic" w:hAnsi="Century Gothic"/>
                <w:bCs/>
                <w:color w:val="17365D"/>
              </w:rPr>
            </w:pPr>
            <w:r w:rsidRPr="006816B0">
              <w:rPr>
                <w:rFonts w:ascii="Century Gothic" w:hAnsi="Century Gothic"/>
                <w:bCs/>
                <w:color w:val="17365D"/>
              </w:rPr>
              <w:t>право требовать от работн</w:t>
            </w:r>
            <w:r w:rsidRPr="006816B0">
              <w:rPr>
                <w:rFonts w:ascii="Century Gothic" w:hAnsi="Century Gothic"/>
                <w:bCs/>
                <w:color w:val="17365D"/>
              </w:rPr>
              <w:t>и</w:t>
            </w:r>
            <w:r w:rsidRPr="006816B0">
              <w:rPr>
                <w:rFonts w:ascii="Century Gothic" w:hAnsi="Century Gothic"/>
                <w:bCs/>
                <w:color w:val="17365D"/>
              </w:rPr>
              <w:t>ка исполнения трудовых обяза</w:t>
            </w:r>
            <w:r w:rsidRPr="006816B0">
              <w:rPr>
                <w:rFonts w:ascii="Century Gothic" w:hAnsi="Century Gothic"/>
                <w:bCs/>
                <w:color w:val="17365D"/>
              </w:rPr>
              <w:t>н</w:t>
            </w:r>
            <w:r w:rsidRPr="006816B0">
              <w:rPr>
                <w:rFonts w:ascii="Century Gothic" w:hAnsi="Century Gothic"/>
                <w:bCs/>
                <w:color w:val="17365D"/>
              </w:rPr>
              <w:t>ностей, соблюдения пр</w:t>
            </w:r>
            <w:r w:rsidRPr="006816B0">
              <w:rPr>
                <w:rFonts w:ascii="Century Gothic" w:hAnsi="Century Gothic"/>
                <w:bCs/>
                <w:color w:val="17365D"/>
              </w:rPr>
              <w:t>а</w:t>
            </w:r>
            <w:r w:rsidRPr="006816B0">
              <w:rPr>
                <w:rFonts w:ascii="Century Gothic" w:hAnsi="Century Gothic"/>
                <w:bCs/>
                <w:color w:val="17365D"/>
              </w:rPr>
              <w:t>вил вну</w:t>
            </w:r>
            <w:r w:rsidRPr="006816B0">
              <w:rPr>
                <w:rFonts w:ascii="Century Gothic" w:hAnsi="Century Gothic"/>
                <w:bCs/>
                <w:color w:val="17365D"/>
              </w:rPr>
              <w:t>т</w:t>
            </w:r>
            <w:r w:rsidRPr="006816B0">
              <w:rPr>
                <w:rFonts w:ascii="Century Gothic" w:hAnsi="Century Gothic"/>
                <w:bCs/>
                <w:color w:val="17365D"/>
              </w:rPr>
              <w:t>реннего распорядка</w:t>
            </w:r>
          </w:p>
        </w:tc>
        <w:tc>
          <w:tcPr>
            <w:tcW w:w="3696" w:type="dxa"/>
            <w:shd w:val="clear" w:color="auto" w:fill="D3DFE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получение гарантированных в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ы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плат при увольнении в связи с ли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к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видацией организаций, сокр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а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щением численности или штата работников, вр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е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менном простое, прохождении медицинского осмотра, наличии «доно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р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ских» дней и др.</w:t>
            </w:r>
          </w:p>
        </w:tc>
        <w:tc>
          <w:tcPr>
            <w:tcW w:w="3697" w:type="dxa"/>
            <w:shd w:val="clear" w:color="auto" w:fill="D3DFEE"/>
          </w:tcPr>
          <w:p w:rsidR="006816B0" w:rsidRDefault="00EE0D8A" w:rsidP="006816B0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отсутств</w:t>
            </w:r>
            <w:r w:rsidR="006816B0">
              <w:rPr>
                <w:rFonts w:ascii="Century Gothic" w:hAnsi="Century Gothic"/>
                <w:color w:val="17365D"/>
                <w:sz w:val="20"/>
                <w:szCs w:val="20"/>
              </w:rPr>
              <w:t>ует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возможност</w:t>
            </w:r>
            <w:r w:rsidR="005865C5">
              <w:rPr>
                <w:rFonts w:ascii="Century Gothic" w:hAnsi="Century Gothic"/>
                <w:color w:val="17365D"/>
                <w:sz w:val="20"/>
                <w:szCs w:val="20"/>
              </w:rPr>
              <w:t>ь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пр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и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влечь работника к ответственн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сти</w:t>
            </w:r>
          </w:p>
          <w:p w:rsidR="006816B0" w:rsidRDefault="00EE0D8A" w:rsidP="006816B0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за несоблюдение трудовой</w:t>
            </w:r>
          </w:p>
          <w:p w:rsidR="00EE0D8A" w:rsidRPr="00E341EF" w:rsidRDefault="00EE0D8A" w:rsidP="006816B0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ди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с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циплины</w:t>
            </w:r>
          </w:p>
        </w:tc>
        <w:tc>
          <w:tcPr>
            <w:tcW w:w="3697" w:type="dxa"/>
            <w:shd w:val="clear" w:color="auto" w:fill="D3DFE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отсутствует возможность доказать стаж и опыт работы при попытке трудоустройства к другому раб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тодателю</w:t>
            </w:r>
          </w:p>
        </w:tc>
      </w:tr>
      <w:tr w:rsidR="00122CFD" w:rsidRPr="00E341EF" w:rsidTr="00E341EF">
        <w:tc>
          <w:tcPr>
            <w:tcW w:w="3696" w:type="dxa"/>
            <w:shd w:val="clear" w:color="auto" w:fill="A7BFDE"/>
          </w:tcPr>
          <w:p w:rsidR="001C070C" w:rsidRPr="00E341EF" w:rsidRDefault="001C070C" w:rsidP="00E341EF">
            <w:pPr>
              <w:spacing w:after="0"/>
              <w:jc w:val="center"/>
              <w:rPr>
                <w:rFonts w:ascii="Century Gothic" w:hAnsi="Century Gothic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7BFDE"/>
          </w:tcPr>
          <w:p w:rsidR="001C070C" w:rsidRPr="00E341EF" w:rsidRDefault="001C070C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ежегодный оплачиваемый 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т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пуск</w:t>
            </w:r>
          </w:p>
        </w:tc>
        <w:tc>
          <w:tcPr>
            <w:tcW w:w="3697" w:type="dxa"/>
            <w:shd w:val="clear" w:color="auto" w:fill="A7BFDE"/>
          </w:tcPr>
          <w:p w:rsidR="001C070C" w:rsidRPr="00E341EF" w:rsidRDefault="006816B0" w:rsidP="005865C5">
            <w:pPr>
              <w:spacing w:after="0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отсутств</w:t>
            </w:r>
            <w:r w:rsidR="005865C5">
              <w:rPr>
                <w:rFonts w:ascii="Century Gothic" w:hAnsi="Century Gothic"/>
                <w:color w:val="17365D"/>
                <w:sz w:val="20"/>
                <w:szCs w:val="20"/>
              </w:rPr>
              <w:t>ует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возможност</w:t>
            </w:r>
            <w:r w:rsidR="005865C5">
              <w:rPr>
                <w:rFonts w:ascii="Century Gothic" w:hAnsi="Century Gothic"/>
                <w:color w:val="17365D"/>
                <w:sz w:val="20"/>
                <w:szCs w:val="20"/>
              </w:rPr>
              <w:t>ь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обесп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е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ч</w:t>
            </w:r>
            <w:r>
              <w:rPr>
                <w:rFonts w:ascii="Century Gothic" w:hAnsi="Century Gothic"/>
                <w:color w:val="17365D"/>
                <w:sz w:val="20"/>
                <w:szCs w:val="20"/>
              </w:rPr>
              <w:t xml:space="preserve">ения 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сохранност</w:t>
            </w:r>
            <w:r>
              <w:rPr>
                <w:rFonts w:ascii="Century Gothic" w:hAnsi="Century Gothic"/>
                <w:color w:val="17365D"/>
                <w:sz w:val="20"/>
                <w:szCs w:val="20"/>
              </w:rPr>
              <w:t>и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матер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и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альных ценн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о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стей</w:t>
            </w:r>
          </w:p>
        </w:tc>
        <w:tc>
          <w:tcPr>
            <w:tcW w:w="3697" w:type="dxa"/>
            <w:shd w:val="clear" w:color="auto" w:fill="A7BFDE"/>
          </w:tcPr>
          <w:p w:rsidR="001C070C" w:rsidRPr="00E341EF" w:rsidRDefault="00EE0D8A" w:rsidP="00E341EF">
            <w:pPr>
              <w:spacing w:after="0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минимальный размер пособий по безработице</w:t>
            </w:r>
          </w:p>
        </w:tc>
      </w:tr>
      <w:tr w:rsidR="00122CFD" w:rsidRPr="00E341EF" w:rsidTr="00E341EF">
        <w:tc>
          <w:tcPr>
            <w:tcW w:w="3696" w:type="dxa"/>
            <w:shd w:val="clear" w:color="auto" w:fill="D3DFEE"/>
          </w:tcPr>
          <w:p w:rsidR="001C070C" w:rsidRPr="00E341EF" w:rsidRDefault="001C070C" w:rsidP="00E341EF">
            <w:pPr>
              <w:spacing w:after="0"/>
              <w:jc w:val="center"/>
              <w:rPr>
                <w:rFonts w:ascii="Century Gothic" w:hAnsi="Century Gothic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D3DFEE"/>
          </w:tcPr>
          <w:p w:rsidR="001C070C" w:rsidRPr="00E341EF" w:rsidRDefault="001C070C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получение налоговых вычетов</w:t>
            </w:r>
          </w:p>
        </w:tc>
        <w:tc>
          <w:tcPr>
            <w:tcW w:w="3697" w:type="dxa"/>
            <w:shd w:val="clear" w:color="auto" w:fill="D3DFEE"/>
          </w:tcPr>
          <w:p w:rsidR="001C070C" w:rsidRPr="00E341EF" w:rsidRDefault="001C070C" w:rsidP="00E341EF">
            <w:pPr>
              <w:spacing w:after="0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D3DFEE"/>
          </w:tcPr>
          <w:p w:rsidR="001C070C" w:rsidRPr="00E341EF" w:rsidRDefault="00EE0D8A" w:rsidP="00E341EF">
            <w:pPr>
              <w:spacing w:after="0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увольнение без объяснения пр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и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чин и в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ы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плат</w:t>
            </w:r>
          </w:p>
        </w:tc>
      </w:tr>
      <w:tr w:rsidR="00122CFD" w:rsidRPr="00E341EF" w:rsidTr="00E341EF">
        <w:tc>
          <w:tcPr>
            <w:tcW w:w="3696" w:type="dxa"/>
            <w:shd w:val="clear" w:color="auto" w:fill="A7BFDE"/>
          </w:tcPr>
          <w:p w:rsidR="001C070C" w:rsidRPr="00E341EF" w:rsidRDefault="001C070C" w:rsidP="00E341EF">
            <w:pPr>
              <w:spacing w:after="0"/>
              <w:jc w:val="center"/>
              <w:rPr>
                <w:rFonts w:ascii="Century Gothic" w:hAnsi="Century Gothic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7BFDE"/>
          </w:tcPr>
          <w:p w:rsidR="001C070C" w:rsidRPr="00E341EF" w:rsidRDefault="001C070C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получение пособия по береме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ности и родам</w:t>
            </w:r>
          </w:p>
        </w:tc>
        <w:tc>
          <w:tcPr>
            <w:tcW w:w="3697" w:type="dxa"/>
            <w:shd w:val="clear" w:color="auto" w:fill="A7BFDE"/>
          </w:tcPr>
          <w:p w:rsidR="001C070C" w:rsidRPr="00E341EF" w:rsidRDefault="001C070C" w:rsidP="00E341EF">
            <w:pPr>
              <w:spacing w:after="0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A7BFDE"/>
          </w:tcPr>
          <w:p w:rsidR="001C070C" w:rsidRPr="00E341EF" w:rsidRDefault="001C070C" w:rsidP="00E341EF">
            <w:pPr>
              <w:spacing w:after="0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</w:p>
        </w:tc>
      </w:tr>
      <w:tr w:rsidR="00122CFD" w:rsidRPr="00E341EF" w:rsidTr="00E341EF">
        <w:tc>
          <w:tcPr>
            <w:tcW w:w="3696" w:type="dxa"/>
            <w:shd w:val="clear" w:color="auto" w:fill="D3DFEE"/>
          </w:tcPr>
          <w:p w:rsidR="001C070C" w:rsidRPr="00E341EF" w:rsidRDefault="001C070C" w:rsidP="00E341EF">
            <w:pPr>
              <w:spacing w:after="0"/>
              <w:jc w:val="center"/>
              <w:rPr>
                <w:rFonts w:ascii="Century Gothic" w:hAnsi="Century Gothic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D3DFEE"/>
          </w:tcPr>
          <w:p w:rsidR="00EE0D8A" w:rsidRPr="00E341EF" w:rsidRDefault="001C070C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получение пособия по уходу за ребенком</w:t>
            </w:r>
            <w:r w:rsidR="003752D6">
              <w:rPr>
                <w:rFonts w:ascii="Century Gothic" w:hAnsi="Century Gothic"/>
                <w:color w:val="17365D"/>
                <w:sz w:val="20"/>
                <w:szCs w:val="20"/>
              </w:rPr>
              <w:t xml:space="preserve"> до 1,5 лет</w:t>
            </w:r>
          </w:p>
        </w:tc>
        <w:tc>
          <w:tcPr>
            <w:tcW w:w="3697" w:type="dxa"/>
            <w:shd w:val="clear" w:color="auto" w:fill="D3DFEE"/>
          </w:tcPr>
          <w:p w:rsidR="001C070C" w:rsidRPr="00E341EF" w:rsidRDefault="001C070C" w:rsidP="00E341EF">
            <w:pPr>
              <w:spacing w:after="0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D3DFEE"/>
          </w:tcPr>
          <w:p w:rsidR="001C070C" w:rsidRPr="00E341EF" w:rsidRDefault="001C070C" w:rsidP="00E341EF">
            <w:pPr>
              <w:spacing w:after="0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</w:p>
        </w:tc>
      </w:tr>
      <w:tr w:rsidR="00122CFD" w:rsidRPr="00E341EF" w:rsidTr="00E341EF">
        <w:tc>
          <w:tcPr>
            <w:tcW w:w="3696" w:type="dxa"/>
            <w:shd w:val="clear" w:color="auto" w:fill="A7BFDE"/>
          </w:tcPr>
          <w:p w:rsidR="00EE0D8A" w:rsidRPr="00E341EF" w:rsidRDefault="00EE0D8A" w:rsidP="00E341EF">
            <w:pPr>
              <w:jc w:val="center"/>
              <w:rPr>
                <w:rFonts w:ascii="Century Gothic" w:hAnsi="Century Gothic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7BFD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возможность пол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у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чения кредита</w:t>
            </w:r>
          </w:p>
        </w:tc>
        <w:tc>
          <w:tcPr>
            <w:tcW w:w="3697" w:type="dxa"/>
            <w:shd w:val="clear" w:color="auto" w:fill="A7BFDE"/>
          </w:tcPr>
          <w:p w:rsidR="00EE0D8A" w:rsidRPr="00E341EF" w:rsidRDefault="00EE0D8A" w:rsidP="00E341EF">
            <w:pPr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A7BFDE"/>
          </w:tcPr>
          <w:p w:rsidR="00EE0D8A" w:rsidRPr="00E341EF" w:rsidRDefault="00EE0D8A" w:rsidP="00E341EF">
            <w:pPr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</w:p>
        </w:tc>
      </w:tr>
      <w:tr w:rsidR="00122CFD" w:rsidRPr="00E341EF" w:rsidTr="00E341EF">
        <w:tc>
          <w:tcPr>
            <w:tcW w:w="3696" w:type="dxa"/>
            <w:shd w:val="clear" w:color="auto" w:fill="D3DFEE"/>
          </w:tcPr>
          <w:p w:rsidR="00EE0D8A" w:rsidRPr="00E341EF" w:rsidRDefault="00EE0D8A" w:rsidP="00E341EF">
            <w:pPr>
              <w:jc w:val="center"/>
              <w:rPr>
                <w:rFonts w:ascii="Century Gothic" w:hAnsi="Century Gothic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D3DFEE"/>
          </w:tcPr>
          <w:p w:rsidR="00EE0D8A" w:rsidRPr="00E341EF" w:rsidRDefault="00EE0D8A" w:rsidP="00E341EF">
            <w:pPr>
              <w:spacing w:after="0" w:line="240" w:lineRule="auto"/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государственное пенсионное обеспеч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е</w:t>
            </w:r>
            <w:r w:rsidRPr="00E341EF">
              <w:rPr>
                <w:rFonts w:ascii="Century Gothic" w:hAnsi="Century Gothic"/>
                <w:color w:val="17365D"/>
                <w:sz w:val="20"/>
                <w:szCs w:val="20"/>
              </w:rPr>
              <w:t>ние</w:t>
            </w:r>
          </w:p>
        </w:tc>
        <w:tc>
          <w:tcPr>
            <w:tcW w:w="3697" w:type="dxa"/>
            <w:shd w:val="clear" w:color="auto" w:fill="D3DFEE"/>
          </w:tcPr>
          <w:p w:rsidR="00EE0D8A" w:rsidRPr="00E341EF" w:rsidRDefault="00EE0D8A" w:rsidP="00E341EF">
            <w:pPr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D3DFEE"/>
          </w:tcPr>
          <w:p w:rsidR="00EE0D8A" w:rsidRPr="00E341EF" w:rsidRDefault="00EE0D8A" w:rsidP="00E341EF">
            <w:pPr>
              <w:jc w:val="center"/>
              <w:rPr>
                <w:rFonts w:ascii="Century Gothic" w:hAnsi="Century Gothic"/>
                <w:color w:val="17365D"/>
                <w:sz w:val="20"/>
                <w:szCs w:val="20"/>
              </w:rPr>
            </w:pPr>
          </w:p>
        </w:tc>
      </w:tr>
    </w:tbl>
    <w:p w:rsidR="003E1E77" w:rsidRPr="00153C6E" w:rsidRDefault="003E1E77" w:rsidP="00D21567">
      <w:pPr>
        <w:jc w:val="both"/>
        <w:rPr>
          <w:rFonts w:ascii="Century Gothic" w:hAnsi="Century Gothic"/>
          <w:color w:val="17365D"/>
          <w:sz w:val="20"/>
          <w:szCs w:val="20"/>
        </w:rPr>
      </w:pPr>
    </w:p>
    <w:sectPr w:rsidR="003E1E77" w:rsidRPr="00153C6E" w:rsidSect="00D21567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15EEF"/>
    <w:multiLevelType w:val="hybridMultilevel"/>
    <w:tmpl w:val="A036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630E"/>
    <w:multiLevelType w:val="hybridMultilevel"/>
    <w:tmpl w:val="18BE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34D03"/>
    <w:multiLevelType w:val="hybridMultilevel"/>
    <w:tmpl w:val="3FEE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B3B54"/>
    <w:multiLevelType w:val="hybridMultilevel"/>
    <w:tmpl w:val="6580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C1"/>
    <w:rsid w:val="00041021"/>
    <w:rsid w:val="000E5FCA"/>
    <w:rsid w:val="00122CFD"/>
    <w:rsid w:val="00127CFB"/>
    <w:rsid w:val="00153C6E"/>
    <w:rsid w:val="001C070C"/>
    <w:rsid w:val="002251A4"/>
    <w:rsid w:val="00274791"/>
    <w:rsid w:val="00354A95"/>
    <w:rsid w:val="003752D6"/>
    <w:rsid w:val="00387930"/>
    <w:rsid w:val="003E1E77"/>
    <w:rsid w:val="00414723"/>
    <w:rsid w:val="00522FF4"/>
    <w:rsid w:val="005716CE"/>
    <w:rsid w:val="005865C5"/>
    <w:rsid w:val="006816B0"/>
    <w:rsid w:val="006F69A7"/>
    <w:rsid w:val="007913C8"/>
    <w:rsid w:val="007E5399"/>
    <w:rsid w:val="008973BF"/>
    <w:rsid w:val="00A03CB1"/>
    <w:rsid w:val="00A44A57"/>
    <w:rsid w:val="00A75B40"/>
    <w:rsid w:val="00AE0D0D"/>
    <w:rsid w:val="00B2526C"/>
    <w:rsid w:val="00B26CA2"/>
    <w:rsid w:val="00B42654"/>
    <w:rsid w:val="00BE36EF"/>
    <w:rsid w:val="00C33BFD"/>
    <w:rsid w:val="00C85EBC"/>
    <w:rsid w:val="00D04354"/>
    <w:rsid w:val="00D21567"/>
    <w:rsid w:val="00E341EF"/>
    <w:rsid w:val="00EC27C1"/>
    <w:rsid w:val="00EE0D8A"/>
    <w:rsid w:val="00F301BF"/>
    <w:rsid w:val="00F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4A95"/>
    <w:rPr>
      <w:rFonts w:ascii="Tahoma" w:hAnsi="Tahoma" w:cs="Tahoma"/>
      <w:sz w:val="16"/>
      <w:szCs w:val="16"/>
      <w:lang w:eastAsia="en-US"/>
    </w:rPr>
  </w:style>
  <w:style w:type="table" w:styleId="-1">
    <w:name w:val="Light Shading Accent 1"/>
    <w:basedOn w:val="a1"/>
    <w:uiPriority w:val="60"/>
    <w:rsid w:val="001C07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List Accent 1"/>
    <w:basedOn w:val="a1"/>
    <w:uiPriority w:val="61"/>
    <w:rsid w:val="00E341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">
    <w:name w:val="Light List Accent 5"/>
    <w:basedOn w:val="a1"/>
    <w:uiPriority w:val="61"/>
    <w:rsid w:val="00E341E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E341E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11">
    <w:name w:val="Light Grid Accent 1"/>
    <w:basedOn w:val="a1"/>
    <w:uiPriority w:val="62"/>
    <w:rsid w:val="00E341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Shading 1 Accent 1"/>
    <w:basedOn w:val="a1"/>
    <w:uiPriority w:val="63"/>
    <w:rsid w:val="00E341E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E341E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0">
    <w:name w:val="Medium Grid 1 Accent 1"/>
    <w:basedOn w:val="a1"/>
    <w:uiPriority w:val="67"/>
    <w:rsid w:val="00E341E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4A95"/>
    <w:rPr>
      <w:rFonts w:ascii="Tahoma" w:hAnsi="Tahoma" w:cs="Tahoma"/>
      <w:sz w:val="16"/>
      <w:szCs w:val="16"/>
      <w:lang w:eastAsia="en-US"/>
    </w:rPr>
  </w:style>
  <w:style w:type="table" w:styleId="-1">
    <w:name w:val="Light Shading Accent 1"/>
    <w:basedOn w:val="a1"/>
    <w:uiPriority w:val="60"/>
    <w:rsid w:val="001C07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List Accent 1"/>
    <w:basedOn w:val="a1"/>
    <w:uiPriority w:val="61"/>
    <w:rsid w:val="00E341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">
    <w:name w:val="Light List Accent 5"/>
    <w:basedOn w:val="a1"/>
    <w:uiPriority w:val="61"/>
    <w:rsid w:val="00E341E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E341E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11">
    <w:name w:val="Light Grid Accent 1"/>
    <w:basedOn w:val="a1"/>
    <w:uiPriority w:val="62"/>
    <w:rsid w:val="00E341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Shading 1 Accent 1"/>
    <w:basedOn w:val="a1"/>
    <w:uiPriority w:val="63"/>
    <w:rsid w:val="00E341E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E341E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0">
    <w:name w:val="Medium Grid 1 Accent 1"/>
    <w:basedOn w:val="a1"/>
    <w:uiPriority w:val="67"/>
    <w:rsid w:val="00E341E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126E-5549-4C08-B715-6199411B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и занятости населения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Долбешко Василина Сергеевна</dc:creator>
  <cp:lastModifiedBy>Администратор ИБ АБР</cp:lastModifiedBy>
  <cp:revision>2</cp:revision>
  <cp:lastPrinted>2022-05-11T10:30:00Z</cp:lastPrinted>
  <dcterms:created xsi:type="dcterms:W3CDTF">2022-05-17T09:33:00Z</dcterms:created>
  <dcterms:modified xsi:type="dcterms:W3CDTF">2022-05-17T09:33:00Z</dcterms:modified>
</cp:coreProperties>
</file>